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>PART Ed 611 GENERAL STANDARDS RELATING TO AREAS OF CONCENTRATION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9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ab/>
      </w:r>
      <w:proofErr w:type="gramStart"/>
      <w:r w:rsidRPr="00BC48A0">
        <w:rPr>
          <w:rFonts w:ascii="Times New Roman" w:eastAsia="Times New Roman" w:hAnsi="Times New Roman" w:cs="Times New Roman"/>
        </w:rPr>
        <w:t xml:space="preserve">Ed 611.01 </w:t>
      </w:r>
      <w:r w:rsidRPr="00BC48A0">
        <w:rPr>
          <w:rFonts w:ascii="Times New Roman" w:eastAsia="Times New Roman" w:hAnsi="Times New Roman" w:cs="Times New Roman"/>
          <w:u w:val="single"/>
        </w:rPr>
        <w:t>Area of Concentration</w:t>
      </w:r>
      <w:r w:rsidRPr="00BC48A0">
        <w:rPr>
          <w:rFonts w:ascii="Times New Roman" w:eastAsia="Times New Roman" w:hAnsi="Times New Roman" w:cs="Times New Roman"/>
        </w:rPr>
        <w:t>.</w:t>
      </w:r>
      <w:proofErr w:type="gramEnd"/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9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ab/>
        <w:t>(a) As part of the assessment system requirements in Ed 606 that uses multiple assessment and data each institution with one or more PEPPs shall have an on-going system of assessment for each area of concentration that uses multiple assessments and data to inform the following: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>(1) Construction of an organized study of content knowledge that is specifically designed to meet individual candidate needs;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>(2) Advisory process of candidates in the selection of courses to align with a nationally approved content knowledge test;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>(3) Development of content area competencies delineated in the relevant sections of Ed 612 and the appropriate Common Core; and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>(4) Empowerment of candidates to engage students in a culture of learning.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9"/>
        <w:jc w:val="both"/>
        <w:rPr>
          <w:rFonts w:ascii="Times New Roman" w:eastAsia="Times New Roman" w:hAnsi="Times New Roman" w:cs="Times New Roman"/>
        </w:rPr>
      </w:pPr>
      <w:r w:rsidRPr="00BC48A0">
        <w:rPr>
          <w:rFonts w:ascii="Times New Roman" w:eastAsia="Times New Roman" w:hAnsi="Times New Roman" w:cs="Times New Roman"/>
        </w:rPr>
        <w:tab/>
        <w:t>(b) Each candidate enrolled in a PEPP at the baccalaureate level shall earn a degree from a regionally accredited institution as indicated in Ed 607.01.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4230"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  <w:hyperlink r:id="rId5" w:history="1">
        <w:proofErr w:type="gramStart"/>
        <w:r w:rsidRPr="00BC48A0">
          <w:rPr>
            <w:rFonts w:ascii="Times New Roman" w:eastAsia="Times New Roman" w:hAnsi="Times New Roman" w:cs="Times New Roman"/>
            <w:color w:val="0000FF"/>
            <w:szCs w:val="20"/>
            <w:u w:val="single"/>
          </w:rPr>
          <w:t>Source.</w:t>
        </w:r>
        <w:proofErr w:type="gramEnd"/>
      </w:hyperlink>
      <w:r w:rsidRPr="00BC48A0">
        <w:rPr>
          <w:rFonts w:ascii="Times New Roman" w:eastAsia="Times New Roman" w:hAnsi="Times New Roman" w:cs="Times New Roman"/>
          <w:szCs w:val="20"/>
        </w:rPr>
        <w:t xml:space="preserve"> #2055,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6-16-82;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by #2714,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5-16-84, EXPIRED 5-16-90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4230" w:right="-24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BC48A0">
        <w:rPr>
          <w:rFonts w:ascii="Times New Roman" w:eastAsia="Times New Roman" w:hAnsi="Times New Roman" w:cs="Times New Roman"/>
          <w:szCs w:val="20"/>
          <w:u w:val="single"/>
        </w:rPr>
        <w:t>New.</w:t>
      </w:r>
      <w:proofErr w:type="gramEnd"/>
      <w:r w:rsidRPr="00BC48A0">
        <w:rPr>
          <w:rFonts w:ascii="Times New Roman" w:eastAsia="Times New Roman" w:hAnsi="Times New Roman" w:cs="Times New Roman"/>
          <w:szCs w:val="20"/>
        </w:rPr>
        <w:t xml:space="preserve"> #4851,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6-25-90;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by #6048,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6-2-95;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by #6366,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10-30-96, EXPIRED: 10-30-04</w:t>
      </w: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4200" w:right="-24" w:hanging="420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C48A0" w:rsidRPr="00BC48A0" w:rsidRDefault="00BC48A0" w:rsidP="00BC48A0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spacing w:after="0" w:line="240" w:lineRule="auto"/>
        <w:ind w:left="4230" w:right="-24"/>
        <w:jc w:val="both"/>
        <w:rPr>
          <w:rFonts w:ascii="Courier New" w:eastAsia="Times New Roman" w:hAnsi="Courier New" w:cs="Times New Roman"/>
          <w:sz w:val="20"/>
          <w:szCs w:val="20"/>
        </w:rPr>
      </w:pPr>
      <w:proofErr w:type="gramStart"/>
      <w:r w:rsidRPr="00BC48A0">
        <w:rPr>
          <w:rFonts w:ascii="Times New Roman" w:eastAsia="Times New Roman" w:hAnsi="Times New Roman" w:cs="Times New Roman"/>
          <w:szCs w:val="20"/>
          <w:u w:val="single"/>
        </w:rPr>
        <w:t>New.</w:t>
      </w:r>
      <w:proofErr w:type="gramEnd"/>
      <w:r w:rsidRPr="00BC48A0">
        <w:rPr>
          <w:rFonts w:ascii="Times New Roman" w:eastAsia="Times New Roman" w:hAnsi="Times New Roman" w:cs="Times New Roman"/>
          <w:szCs w:val="20"/>
        </w:rPr>
        <w:t xml:space="preserve"> #8206, INTERIM,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11-18-04, EXPIRES: 5-17-05;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by #8335,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4-23-05;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ss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by #10295, </w:t>
      </w:r>
      <w:proofErr w:type="spellStart"/>
      <w:r w:rsidRPr="00BC48A0">
        <w:rPr>
          <w:rFonts w:ascii="Times New Roman" w:eastAsia="Times New Roman" w:hAnsi="Times New Roman" w:cs="Times New Roman"/>
          <w:szCs w:val="20"/>
        </w:rPr>
        <w:t>eff</w:t>
      </w:r>
      <w:proofErr w:type="spellEnd"/>
      <w:r w:rsidRPr="00BC48A0">
        <w:rPr>
          <w:rFonts w:ascii="Times New Roman" w:eastAsia="Times New Roman" w:hAnsi="Times New Roman" w:cs="Times New Roman"/>
          <w:szCs w:val="20"/>
        </w:rPr>
        <w:t xml:space="preserve"> 3-22-13</w:t>
      </w:r>
    </w:p>
    <w:p w:rsidR="009A39E8" w:rsidRDefault="009A39E8">
      <w:bookmarkStart w:id="0" w:name="_GoBack"/>
      <w:bookmarkEnd w:id="0"/>
    </w:p>
    <w:sectPr w:rsidR="009A3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A0"/>
    <w:rsid w:val="009A39E8"/>
    <w:rsid w:val="00BC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48A0"/>
    <w:rPr>
      <w:color w:val="0000FF"/>
      <w:u w:val="single"/>
    </w:rPr>
  </w:style>
  <w:style w:type="paragraph" w:customStyle="1" w:styleId="ConvertStyle24">
    <w:name w:val="ConvertStyle24"/>
    <w:basedOn w:val="Normal"/>
    <w:rsid w:val="00BC48A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vertStyle84">
    <w:name w:val="ConvertStyle84"/>
    <w:basedOn w:val="Normal"/>
    <w:rsid w:val="00BC48A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48A0"/>
    <w:rPr>
      <w:color w:val="0000FF"/>
      <w:u w:val="single"/>
    </w:rPr>
  </w:style>
  <w:style w:type="paragraph" w:customStyle="1" w:styleId="ConvertStyle24">
    <w:name w:val="ConvertStyle24"/>
    <w:basedOn w:val="Normal"/>
    <w:rsid w:val="00BC48A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vertStyle84">
    <w:name w:val="ConvertStyle84"/>
    <w:basedOn w:val="Normal"/>
    <w:rsid w:val="00BC48A0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spacing w:after="0" w:line="240" w:lineRule="auto"/>
      <w:ind w:right="-24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ncourt.state.nh.us/rules/filing_history/sourcee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McCaffrey, Marcia</dc:creator>
  <cp:lastModifiedBy>McCaffrey, Marcia</cp:lastModifiedBy>
  <cp:revision>1</cp:revision>
  <dcterms:created xsi:type="dcterms:W3CDTF">2014-04-10T18:21:00Z</dcterms:created>
  <dcterms:modified xsi:type="dcterms:W3CDTF">2014-04-10T18:22:00Z</dcterms:modified>
</cp:coreProperties>
</file>